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155 924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для двухтакттных двигателей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270,000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Полусинтетическое моторное масло для двухтактных бензиновых двигателей мотоциклов, мотороллеров, скутеров, мопедов, снегоходов, генераторов, снегоуборщиков, садовой мототехники и ручного мотоинструмента. Соответствует эксплуатационному классу JASO FD и превосходит требования предыдущих классов (JASO FC, FB, FA). Благодаря сочетанию синтетических компонентов и малозольного пакета присадок обладает низкой дымностью выхлопа, а также препятствует образованию зольных, лаковых и коксовых отложений на деталях цилиндро-поршневой группы, свечах зажигания и в выхлопной системе. Для приготовления топливно-масляной смеси оптимального состава руководствуйтесь инструкцией по эксплуатации Вашей техники.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для редуктора бензопилы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122,000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12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Универсальное всесезонное специальное масло для смазки цепи, направляющей цепи (шины) и ведущих звездочек всех типов электро- и бензопил. Производится на основе высокоочищенных минеральных масел и специального пакета присадок, обеспечивающего высокие эксплуатационные характеристики.обладает хорошей липкостью (адгезией), что исключает стекание по каплям в процессе эксплуатации, а также стекания масла при простое, тем самым сокращая потери. Обеспечивает надёжную смазку и защиту трущихся поверхностей, удаление опилок, грязи и продуктов износа. Позволяет защитить цепь и шину от влаги и предотвратить коррозию при длительном хранении пилы, тем самым сохраняя максимальный срок службы.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Масло для четырехтактного двигателя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Литр; кубический дециметр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полусинтетическое моторное масло для малолитражных четырехтактных бензиновых и дизельных двигателей газонокосилок, бытовых генераторов, культиваторов, мотоблоков, снегоуборщиков, мини-тракторов и другой садовой техники, требующей моторные масла эксплуатационного уровня API SL/CF и ниже (API SG/CD, SF/CC). Благодаря сочетанию синтетических базовых компонентов и пакета присадок обладает высокой термоокислительной стабильностью и отличными низкотемпературными свойствами, что позволяет эксплуатировать технику при низких температурах окружающего воздуха без снижения нагрузок.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10 до 20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107 896,43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16 458,78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91 437,65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(тридцати) календарных дней с даты подписания уполномоченными представителями сторон товарной накладной ТОРГ-12, акт приема-передачи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